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57" w:rsidRPr="00885264" w:rsidRDefault="00CB2E57" w:rsidP="00CB2E57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bookmarkEnd w:id="0"/>
      <w:r w:rsidRPr="00885264">
        <w:rPr>
          <w:rFonts w:ascii="Times New Roman" w:eastAsia="方正小标宋简体" w:hAnsi="Times New Roman" w:cs="Times New Roman" w:hint="eastAsia"/>
          <w:sz w:val="36"/>
          <w:szCs w:val="36"/>
        </w:rPr>
        <w:t>抗新冠病毒肺炎炎症药物非临床药效学研究与评价</w:t>
      </w:r>
    </w:p>
    <w:p w:rsidR="00CB2E57" w:rsidRPr="00885264" w:rsidRDefault="00CB2E57" w:rsidP="00CB2E57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885264">
        <w:rPr>
          <w:rFonts w:ascii="Times New Roman" w:eastAsia="方正小标宋简体" w:hAnsi="Times New Roman" w:cs="Times New Roman" w:hint="eastAsia"/>
          <w:sz w:val="36"/>
          <w:szCs w:val="36"/>
        </w:rPr>
        <w:t>技术指导原则（试行）起草说明</w:t>
      </w:r>
    </w:p>
    <w:p w:rsidR="00CB2E57" w:rsidRPr="00BB30C7" w:rsidRDefault="00CB2E57" w:rsidP="00CB2E57">
      <w:pPr>
        <w:adjustRightInd w:val="0"/>
        <w:snapToGrid w:val="0"/>
        <w:spacing w:line="360" w:lineRule="auto"/>
        <w:ind w:firstLineChars="200" w:firstLine="6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E57" w:rsidRPr="00C236B2" w:rsidRDefault="00CB2E57" w:rsidP="00CB2E57">
      <w:pPr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C236B2">
        <w:rPr>
          <w:rFonts w:ascii="仿宋_GB2312" w:eastAsia="仿宋_GB2312" w:hAnsi="仿宋" w:cs="Times New Roman" w:hint="eastAsia"/>
          <w:color w:val="000000"/>
          <w:sz w:val="32"/>
          <w:szCs w:val="32"/>
        </w:rPr>
        <w:t>为进一步规范和指导</w:t>
      </w:r>
      <w:r w:rsidRPr="00C236B2">
        <w:rPr>
          <w:rFonts w:ascii="仿宋_GB2312" w:eastAsia="仿宋_GB2312" w:hAnsi="仿宋" w:cs="Times New Roman" w:hint="eastAsia"/>
          <w:sz w:val="32"/>
          <w:szCs w:val="32"/>
        </w:rPr>
        <w:t>抗</w:t>
      </w:r>
      <w:r>
        <w:rPr>
          <w:rFonts w:ascii="仿宋_GB2312" w:eastAsia="仿宋_GB2312" w:hAnsi="仿宋" w:cs="Times New Roman" w:hint="eastAsia"/>
          <w:sz w:val="32"/>
          <w:szCs w:val="32"/>
        </w:rPr>
        <w:t>新冠病毒肺炎</w:t>
      </w:r>
      <w:r w:rsidRPr="00C236B2">
        <w:rPr>
          <w:rFonts w:ascii="仿宋_GB2312" w:eastAsia="仿宋_GB2312" w:hAnsi="仿宋" w:cs="Times New Roman" w:hint="eastAsia"/>
          <w:sz w:val="32"/>
          <w:szCs w:val="32"/>
        </w:rPr>
        <w:t>炎症药物非临床药效学研究与评价</w:t>
      </w:r>
      <w:r w:rsidRPr="00C236B2">
        <w:rPr>
          <w:rFonts w:ascii="仿宋_GB2312" w:eastAsia="仿宋_GB2312" w:hAnsi="仿宋" w:cs="Times New Roman" w:hint="eastAsia"/>
          <w:color w:val="000000"/>
          <w:sz w:val="32"/>
          <w:szCs w:val="32"/>
        </w:rPr>
        <w:t>，提供可参考的技术规范，药品审评中心组织起草了抗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新冠病毒肺炎</w:t>
      </w:r>
      <w:r w:rsidRPr="00C236B2">
        <w:rPr>
          <w:rFonts w:ascii="仿宋_GB2312" w:eastAsia="仿宋_GB2312" w:hAnsi="仿宋" w:cs="Times New Roman" w:hint="eastAsia"/>
          <w:color w:val="000000"/>
          <w:sz w:val="32"/>
          <w:szCs w:val="32"/>
        </w:rPr>
        <w:t>炎症药物非临床药效学研究与评价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技术指导原则</w:t>
      </w:r>
      <w:r w:rsidRPr="00C236B2">
        <w:rPr>
          <w:rFonts w:ascii="仿宋_GB2312" w:eastAsia="仿宋_GB2312" w:hAnsi="仿宋" w:cs="Times New Roman" w:hint="eastAsia"/>
          <w:color w:val="000000"/>
          <w:sz w:val="32"/>
          <w:szCs w:val="32"/>
        </w:rPr>
        <w:t>。现将有关情况说明如下：</w:t>
      </w:r>
    </w:p>
    <w:p w:rsidR="00CB2E57" w:rsidRPr="00C236B2" w:rsidRDefault="00CB2E57" w:rsidP="00CB2E5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C236B2">
        <w:rPr>
          <w:rFonts w:ascii="黑体" w:eastAsia="黑体" w:hAnsi="黑体" w:cs="Times New Roman" w:hint="eastAsia"/>
          <w:color w:val="000000"/>
          <w:sz w:val="32"/>
          <w:szCs w:val="32"/>
        </w:rPr>
        <w:t>一、背景和目的</w:t>
      </w:r>
    </w:p>
    <w:p w:rsidR="00CB2E57" w:rsidRDefault="00CB2E57" w:rsidP="00CB2E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cs="Times New Roman" w:hint="eastAsia"/>
          <w:bCs/>
          <w:sz w:val="32"/>
          <w:szCs w:val="32"/>
        </w:rPr>
        <w:t>随着</w:t>
      </w:r>
      <w:r>
        <w:rPr>
          <w:rFonts w:ascii="仿宋_GB2312" w:eastAsia="仿宋_GB2312" w:cs="Times New Roman"/>
          <w:bCs/>
          <w:sz w:val="32"/>
          <w:szCs w:val="32"/>
        </w:rPr>
        <w:t>国内和国际</w:t>
      </w:r>
      <w:r>
        <w:rPr>
          <w:rFonts w:ascii="仿宋_GB2312" w:eastAsia="仿宋_GB2312" w:cs="Times New Roman" w:hint="eastAsia"/>
          <w:bCs/>
          <w:sz w:val="32"/>
          <w:szCs w:val="32"/>
        </w:rPr>
        <w:t>新冠</w:t>
      </w:r>
      <w:r>
        <w:rPr>
          <w:rFonts w:ascii="仿宋_GB2312" w:eastAsia="仿宋_GB2312" w:cs="Times New Roman"/>
          <w:bCs/>
          <w:sz w:val="32"/>
          <w:szCs w:val="32"/>
        </w:rPr>
        <w:t>疫情的发展，</w:t>
      </w:r>
      <w:r>
        <w:rPr>
          <w:rFonts w:ascii="仿宋_GB2312" w:eastAsia="仿宋_GB2312" w:cs="Times New Roman" w:hint="eastAsia"/>
          <w:bCs/>
          <w:sz w:val="32"/>
          <w:szCs w:val="32"/>
        </w:rPr>
        <w:t>除</w:t>
      </w:r>
      <w:r>
        <w:rPr>
          <w:rFonts w:ascii="仿宋_GB2312" w:eastAsia="仿宋_GB2312" w:cs="Times New Roman"/>
          <w:bCs/>
          <w:sz w:val="32"/>
          <w:szCs w:val="32"/>
        </w:rPr>
        <w:t>疫苗和抗病毒药物</w:t>
      </w:r>
      <w:r>
        <w:rPr>
          <w:rFonts w:ascii="仿宋_GB2312" w:eastAsia="仿宋_GB2312" w:cs="Times New Roman" w:hint="eastAsia"/>
          <w:bCs/>
          <w:sz w:val="32"/>
          <w:szCs w:val="32"/>
        </w:rPr>
        <w:t>以外</w:t>
      </w:r>
      <w:r>
        <w:rPr>
          <w:rFonts w:ascii="仿宋_GB2312" w:eastAsia="仿宋_GB2312" w:cs="Times New Roman"/>
          <w:bCs/>
          <w:sz w:val="32"/>
          <w:szCs w:val="32"/>
        </w:rPr>
        <w:t>，治疗新冠病毒肺炎炎症</w:t>
      </w:r>
      <w:r>
        <w:rPr>
          <w:rFonts w:ascii="仿宋_GB2312" w:eastAsia="仿宋_GB2312" w:cs="Times New Roman" w:hint="eastAsia"/>
          <w:bCs/>
          <w:sz w:val="32"/>
          <w:szCs w:val="32"/>
        </w:rPr>
        <w:t>药物仍是抗</w:t>
      </w:r>
      <w:proofErr w:type="gramStart"/>
      <w:r>
        <w:rPr>
          <w:rFonts w:ascii="仿宋_GB2312" w:eastAsia="仿宋_GB2312" w:cs="Times New Roman" w:hint="eastAsia"/>
          <w:bCs/>
          <w:sz w:val="32"/>
          <w:szCs w:val="32"/>
        </w:rPr>
        <w:t>疫</w:t>
      </w:r>
      <w:proofErr w:type="gramEnd"/>
      <w:r>
        <w:rPr>
          <w:rFonts w:ascii="仿宋_GB2312" w:eastAsia="仿宋_GB2312" w:cs="Times New Roman" w:hint="eastAsia"/>
          <w:bCs/>
          <w:sz w:val="32"/>
          <w:szCs w:val="32"/>
        </w:rPr>
        <w:t>药物</w:t>
      </w:r>
      <w:r>
        <w:rPr>
          <w:rFonts w:ascii="仿宋_GB2312" w:eastAsia="仿宋_GB2312" w:cs="Times New Roman"/>
          <w:bCs/>
          <w:sz w:val="32"/>
          <w:szCs w:val="32"/>
        </w:rPr>
        <w:t>研发和特别</w:t>
      </w:r>
      <w:proofErr w:type="gramStart"/>
      <w:r>
        <w:rPr>
          <w:rFonts w:ascii="仿宋_GB2312" w:eastAsia="仿宋_GB2312" w:cs="Times New Roman"/>
          <w:bCs/>
          <w:sz w:val="32"/>
          <w:szCs w:val="32"/>
        </w:rPr>
        <w:t>审评审批</w:t>
      </w:r>
      <w:proofErr w:type="gramEnd"/>
      <w:r>
        <w:rPr>
          <w:rFonts w:ascii="仿宋_GB2312" w:eastAsia="仿宋_GB2312" w:cs="Times New Roman"/>
          <w:bCs/>
          <w:sz w:val="32"/>
          <w:szCs w:val="32"/>
        </w:rPr>
        <w:t>的重点。</w:t>
      </w:r>
      <w:r w:rsidRPr="00C236B2">
        <w:rPr>
          <w:rFonts w:ascii="仿宋_GB2312" w:eastAsia="仿宋_GB2312" w:cs="Times New Roman" w:hint="eastAsia"/>
          <w:bCs/>
          <w:sz w:val="32"/>
          <w:szCs w:val="32"/>
        </w:rPr>
        <w:t>为达到“安全守底线、疗效有证据、质量能保证”的要求，</w:t>
      </w:r>
      <w:r>
        <w:rPr>
          <w:rFonts w:ascii="仿宋_GB2312" w:eastAsia="仿宋_GB2312" w:cs="Times New Roman" w:hint="eastAsia"/>
          <w:bCs/>
          <w:sz w:val="32"/>
          <w:szCs w:val="32"/>
        </w:rPr>
        <w:t>药品审评</w:t>
      </w:r>
      <w:r>
        <w:rPr>
          <w:rFonts w:ascii="仿宋_GB2312" w:eastAsia="仿宋_GB2312" w:cs="Times New Roman"/>
          <w:bCs/>
          <w:sz w:val="32"/>
          <w:szCs w:val="32"/>
        </w:rPr>
        <w:t>中心组织</w:t>
      </w:r>
      <w:r>
        <w:rPr>
          <w:rFonts w:ascii="仿宋_GB2312" w:eastAsia="仿宋_GB2312" w:cs="Times New Roman" w:hint="eastAsia"/>
          <w:bCs/>
          <w:sz w:val="32"/>
          <w:szCs w:val="32"/>
        </w:rPr>
        <w:t>有关</w:t>
      </w:r>
      <w:r>
        <w:rPr>
          <w:rFonts w:ascii="仿宋_GB2312" w:eastAsia="仿宋_GB2312" w:cs="Times New Roman"/>
          <w:bCs/>
          <w:sz w:val="32"/>
          <w:szCs w:val="32"/>
        </w:rPr>
        <w:t>专家讨论起草了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抗</w:t>
      </w:r>
      <w:r>
        <w:rPr>
          <w:rFonts w:ascii="仿宋_GB2312" w:eastAsia="仿宋_GB2312" w:cs="Times New Roman" w:hint="eastAsia"/>
          <w:bCs/>
          <w:sz w:val="32"/>
          <w:szCs w:val="32"/>
        </w:rPr>
        <w:t>新冠病毒肺炎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炎症药物非临床药效学研究与评价技术指导原则</w:t>
      </w:r>
      <w:r>
        <w:rPr>
          <w:rFonts w:ascii="仿宋_GB2312" w:eastAsia="仿宋_GB2312" w:cs="Times New Roman" w:hint="eastAsia"/>
          <w:bCs/>
          <w:sz w:val="32"/>
          <w:szCs w:val="32"/>
        </w:rPr>
        <w:t>，</w:t>
      </w:r>
      <w:r>
        <w:rPr>
          <w:rFonts w:ascii="仿宋_GB2312" w:eastAsia="仿宋_GB2312" w:cs="Times New Roman"/>
          <w:bCs/>
          <w:sz w:val="32"/>
          <w:szCs w:val="32"/>
        </w:rPr>
        <w:t>以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规范和指导抗</w:t>
      </w:r>
      <w:r>
        <w:rPr>
          <w:rFonts w:ascii="仿宋_GB2312" w:eastAsia="仿宋_GB2312" w:cs="Times New Roman" w:hint="eastAsia"/>
          <w:bCs/>
          <w:sz w:val="32"/>
          <w:szCs w:val="32"/>
        </w:rPr>
        <w:t>新冠病毒肺炎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炎症药物非临床药效学研究与评价。</w:t>
      </w:r>
    </w:p>
    <w:p w:rsidR="00CB2E57" w:rsidRPr="00C236B2" w:rsidRDefault="00CB2E57" w:rsidP="00CB2E57">
      <w:pPr>
        <w:adjustRightInd w:val="0"/>
        <w:snapToGrid w:val="0"/>
        <w:spacing w:line="360" w:lineRule="auto"/>
        <w:ind w:left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</w:t>
      </w:r>
      <w:r>
        <w:rPr>
          <w:rFonts w:ascii="黑体" w:eastAsia="黑体" w:hAnsi="黑体" w:cs="Times New Roman"/>
          <w:color w:val="000000"/>
          <w:sz w:val="32"/>
          <w:szCs w:val="32"/>
        </w:rPr>
        <w:t>、</w:t>
      </w:r>
      <w:r w:rsidRPr="00C236B2">
        <w:rPr>
          <w:rFonts w:ascii="黑体" w:eastAsia="黑体" w:hAnsi="黑体" w:cs="Times New Roman" w:hint="eastAsia"/>
          <w:color w:val="000000"/>
          <w:sz w:val="32"/>
          <w:szCs w:val="32"/>
        </w:rPr>
        <w:t>起草过程</w:t>
      </w:r>
    </w:p>
    <w:p w:rsidR="00CB2E57" w:rsidRPr="00907BB8" w:rsidRDefault="00CB2E57" w:rsidP="00CB2E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C236B2">
        <w:rPr>
          <w:rFonts w:ascii="仿宋_GB2312" w:eastAsia="仿宋_GB2312" w:hAnsi="仿宋" w:cs="Times New Roman" w:hint="eastAsia"/>
          <w:color w:val="000000"/>
          <w:sz w:val="32"/>
          <w:szCs w:val="32"/>
        </w:rPr>
        <w:t>抗</w:t>
      </w:r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>新冠病毒肺炎</w:t>
      </w:r>
      <w:r w:rsidRPr="00C236B2">
        <w:rPr>
          <w:rFonts w:ascii="仿宋_GB2312" w:eastAsia="仿宋_GB2312" w:hAnsi="仿宋" w:cs="Times New Roman" w:hint="eastAsia"/>
          <w:color w:val="000000"/>
          <w:sz w:val="32"/>
          <w:szCs w:val="32"/>
        </w:rPr>
        <w:t>炎症药物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在进入临床试验前，应提供非临床药效学研究数据支持。在以往的</w:t>
      </w:r>
      <w:r>
        <w:rPr>
          <w:rFonts w:ascii="仿宋_GB2312" w:eastAsia="仿宋_GB2312" w:cs="Times New Roman" w:hint="eastAsia"/>
          <w:bCs/>
          <w:sz w:val="32"/>
          <w:szCs w:val="32"/>
        </w:rPr>
        <w:t>新冠病毒肺炎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药物立项沟通交流和特别</w:t>
      </w:r>
      <w:proofErr w:type="gramStart"/>
      <w:r w:rsidRPr="00907BB8">
        <w:rPr>
          <w:rFonts w:ascii="仿宋_GB2312" w:eastAsia="仿宋_GB2312" w:cs="Times New Roman" w:hint="eastAsia"/>
          <w:bCs/>
          <w:sz w:val="32"/>
          <w:szCs w:val="32"/>
        </w:rPr>
        <w:t>审评审批</w:t>
      </w:r>
      <w:proofErr w:type="gramEnd"/>
      <w:r w:rsidRPr="00907BB8">
        <w:rPr>
          <w:rFonts w:ascii="仿宋_GB2312" w:eastAsia="仿宋_GB2312" w:cs="Times New Roman" w:hint="eastAsia"/>
          <w:bCs/>
          <w:sz w:val="32"/>
          <w:szCs w:val="32"/>
        </w:rPr>
        <w:t>中，此类药物的非临床药效学评价主要聚焦</w:t>
      </w:r>
      <w:proofErr w:type="gramStart"/>
      <w:r w:rsidRPr="00907BB8">
        <w:rPr>
          <w:rFonts w:ascii="仿宋_GB2312" w:eastAsia="仿宋_GB2312" w:cs="Times New Roman" w:hint="eastAsia"/>
          <w:bCs/>
          <w:sz w:val="32"/>
          <w:szCs w:val="32"/>
        </w:rPr>
        <w:t>于作用</w:t>
      </w:r>
      <w:proofErr w:type="gramEnd"/>
      <w:r w:rsidRPr="00907BB8">
        <w:rPr>
          <w:rFonts w:ascii="仿宋_GB2312" w:eastAsia="仿宋_GB2312" w:cs="Times New Roman" w:hint="eastAsia"/>
          <w:bCs/>
          <w:sz w:val="32"/>
          <w:szCs w:val="32"/>
        </w:rPr>
        <w:t>机制以及抗炎靶点与人</w:t>
      </w:r>
      <w:r>
        <w:rPr>
          <w:rFonts w:ascii="仿宋_GB2312" w:eastAsia="仿宋_GB2312" w:cs="Times New Roman" w:hint="eastAsia"/>
          <w:bCs/>
          <w:sz w:val="32"/>
          <w:szCs w:val="32"/>
        </w:rPr>
        <w:t>新冠病毒肺炎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病理病程已有认知的相关性上。为了</w:t>
      </w:r>
      <w:r w:rsidRPr="00907BB8">
        <w:rPr>
          <w:rFonts w:ascii="仿宋_GB2312" w:eastAsia="仿宋_GB2312" w:cs="Times New Roman"/>
          <w:bCs/>
          <w:sz w:val="32"/>
          <w:szCs w:val="32"/>
        </w:rPr>
        <w:t>进一步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收集</w:t>
      </w:r>
      <w:r>
        <w:rPr>
          <w:rFonts w:ascii="仿宋_GB2312" w:eastAsia="仿宋_GB2312" w:cs="Times New Roman" w:hint="eastAsia"/>
          <w:bCs/>
          <w:sz w:val="32"/>
          <w:szCs w:val="32"/>
        </w:rPr>
        <w:t>药效学</w:t>
      </w:r>
      <w:r>
        <w:rPr>
          <w:rFonts w:ascii="仿宋_GB2312" w:eastAsia="仿宋_GB2312" w:cs="Times New Roman"/>
          <w:bCs/>
          <w:sz w:val="32"/>
          <w:szCs w:val="32"/>
        </w:rPr>
        <w:t>模型及新冠病毒肺炎病理病程等方面的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信息、梳理学术进展并形成专家共识，药品审评中心</w:t>
      </w:r>
      <w:r w:rsidRPr="00907BB8">
        <w:rPr>
          <w:rFonts w:ascii="仿宋_GB2312" w:eastAsia="仿宋_GB2312" w:cs="Times New Roman"/>
          <w:bCs/>
          <w:sz w:val="32"/>
          <w:szCs w:val="32"/>
        </w:rPr>
        <w:t>于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2021年1月26日组织召开了治疗</w:t>
      </w:r>
      <w:r>
        <w:rPr>
          <w:rFonts w:ascii="仿宋_GB2312" w:eastAsia="仿宋_GB2312" w:cs="Times New Roman" w:hint="eastAsia"/>
          <w:bCs/>
          <w:sz w:val="32"/>
          <w:szCs w:val="32"/>
        </w:rPr>
        <w:lastRenderedPageBreak/>
        <w:t>新冠病毒肺炎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炎症药物非临床药效学评价专家研讨会。会议</w:t>
      </w:r>
      <w:r w:rsidRPr="00907BB8">
        <w:rPr>
          <w:rFonts w:ascii="仿宋_GB2312" w:eastAsia="仿宋_GB2312" w:cs="Times New Roman"/>
          <w:bCs/>
          <w:sz w:val="32"/>
          <w:szCs w:val="32"/>
        </w:rPr>
        <w:t>邀请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新冠动物模型药效学专家、免疫学专家和临床专家</w:t>
      </w:r>
      <w:r>
        <w:rPr>
          <w:rFonts w:ascii="仿宋_GB2312" w:eastAsia="仿宋_GB2312" w:cs="Times New Roman" w:hint="eastAsia"/>
          <w:bCs/>
          <w:sz w:val="32"/>
          <w:szCs w:val="32"/>
        </w:rPr>
        <w:t>就相关</w:t>
      </w:r>
      <w:r>
        <w:rPr>
          <w:rFonts w:ascii="仿宋_GB2312" w:eastAsia="仿宋_GB2312" w:cs="Times New Roman"/>
          <w:bCs/>
          <w:sz w:val="32"/>
          <w:szCs w:val="32"/>
        </w:rPr>
        <w:t>问题进行了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充分讨论</w:t>
      </w:r>
      <w:r>
        <w:rPr>
          <w:rFonts w:ascii="仿宋_GB2312" w:eastAsia="仿宋_GB2312" w:cs="Times New Roman" w:hint="eastAsia"/>
          <w:bCs/>
          <w:sz w:val="32"/>
          <w:szCs w:val="32"/>
        </w:rPr>
        <w:t>。根据</w:t>
      </w:r>
      <w:r>
        <w:rPr>
          <w:rFonts w:ascii="仿宋_GB2312" w:eastAsia="仿宋_GB2312" w:cs="Times New Roman"/>
          <w:bCs/>
          <w:sz w:val="32"/>
          <w:szCs w:val="32"/>
        </w:rPr>
        <w:t>专家意见，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基于当前疫情的紧急状态、对</w:t>
      </w:r>
      <w:r>
        <w:rPr>
          <w:rFonts w:ascii="仿宋_GB2312" w:eastAsia="仿宋_GB2312" w:cs="Times New Roman" w:hint="eastAsia"/>
          <w:bCs/>
          <w:sz w:val="32"/>
          <w:szCs w:val="32"/>
        </w:rPr>
        <w:t>新冠病毒肺炎</w:t>
      </w:r>
      <w:r w:rsidRPr="00907BB8">
        <w:rPr>
          <w:rFonts w:ascii="仿宋_GB2312" w:eastAsia="仿宋_GB2312" w:cs="Times New Roman" w:hint="eastAsia"/>
          <w:bCs/>
          <w:sz w:val="32"/>
          <w:szCs w:val="32"/>
        </w:rPr>
        <w:t>病理病程的认知和试验资源的可及性等，形成了</w:t>
      </w:r>
      <w:r>
        <w:rPr>
          <w:rFonts w:ascii="仿宋_GB2312" w:eastAsia="仿宋_GB2312" w:cs="Times New Roman" w:hint="eastAsia"/>
          <w:bCs/>
          <w:sz w:val="32"/>
          <w:szCs w:val="32"/>
        </w:rPr>
        <w:t>本指导原则初稿。经2021年2月3日</w:t>
      </w:r>
      <w:r>
        <w:rPr>
          <w:rFonts w:ascii="仿宋_GB2312" w:eastAsia="仿宋_GB2312" w:cs="Times New Roman"/>
          <w:bCs/>
          <w:sz w:val="32"/>
          <w:szCs w:val="32"/>
        </w:rPr>
        <w:t>药品审评中心药理毒理学部技术委员会</w:t>
      </w:r>
      <w:r>
        <w:rPr>
          <w:rFonts w:ascii="仿宋_GB2312" w:eastAsia="仿宋_GB2312" w:cs="Times New Roman" w:hint="eastAsia"/>
          <w:bCs/>
          <w:sz w:val="32"/>
          <w:szCs w:val="32"/>
        </w:rPr>
        <w:t>讨论</w:t>
      </w:r>
      <w:r>
        <w:rPr>
          <w:rFonts w:ascii="仿宋_GB2312" w:eastAsia="仿宋_GB2312" w:cs="Times New Roman"/>
          <w:bCs/>
          <w:sz w:val="32"/>
          <w:szCs w:val="32"/>
        </w:rPr>
        <w:t>和征求意见，形成</w:t>
      </w:r>
      <w:r>
        <w:rPr>
          <w:rFonts w:ascii="仿宋_GB2312" w:eastAsia="仿宋_GB2312" w:cs="Times New Roman" w:hint="eastAsia"/>
          <w:bCs/>
          <w:sz w:val="32"/>
          <w:szCs w:val="32"/>
        </w:rPr>
        <w:t>了</w:t>
      </w:r>
      <w:r>
        <w:rPr>
          <w:rFonts w:ascii="仿宋_GB2312" w:eastAsia="仿宋_GB2312" w:cs="Times New Roman"/>
          <w:bCs/>
          <w:sz w:val="32"/>
          <w:szCs w:val="32"/>
        </w:rPr>
        <w:t>征求意见稿。</w:t>
      </w:r>
    </w:p>
    <w:p w:rsidR="00CB2E57" w:rsidRPr="00C236B2" w:rsidRDefault="00CB2E57" w:rsidP="00CB2E57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C236B2">
        <w:rPr>
          <w:rFonts w:ascii="黑体" w:eastAsia="黑体" w:hAnsi="黑体" w:cs="Times New Roman" w:hint="eastAsia"/>
          <w:color w:val="000000"/>
          <w:sz w:val="32"/>
          <w:szCs w:val="32"/>
        </w:rPr>
        <w:t>三、主要内容与说明</w:t>
      </w:r>
    </w:p>
    <w:p w:rsidR="00CB2E57" w:rsidRDefault="00CB2E57" w:rsidP="00CB2E5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Times New Roman"/>
          <w:bCs/>
          <w:sz w:val="32"/>
          <w:szCs w:val="32"/>
        </w:rPr>
      </w:pPr>
      <w:r w:rsidRPr="00C236B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本指导原则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主要</w:t>
      </w:r>
      <w:r>
        <w:rPr>
          <w:rFonts w:ascii="仿宋_GB2312" w:eastAsia="仿宋_GB2312" w:cs="Times New Roman"/>
          <w:bCs/>
          <w:sz w:val="32"/>
          <w:szCs w:val="32"/>
        </w:rPr>
        <w:t>包括</w:t>
      </w:r>
      <w:r w:rsidRPr="000A4822">
        <w:rPr>
          <w:rFonts w:ascii="仿宋_GB2312" w:eastAsia="仿宋_GB2312" w:cs="Times New Roman" w:hint="eastAsia"/>
          <w:bCs/>
          <w:sz w:val="32"/>
          <w:szCs w:val="32"/>
        </w:rPr>
        <w:t>抗</w:t>
      </w:r>
      <w:r>
        <w:rPr>
          <w:rFonts w:ascii="仿宋_GB2312" w:eastAsia="仿宋_GB2312" w:cs="Times New Roman" w:hint="eastAsia"/>
          <w:bCs/>
          <w:sz w:val="32"/>
          <w:szCs w:val="32"/>
        </w:rPr>
        <w:t>新冠病毒肺炎</w:t>
      </w:r>
      <w:r w:rsidRPr="000A4822">
        <w:rPr>
          <w:rFonts w:ascii="仿宋_GB2312" w:eastAsia="仿宋_GB2312" w:cs="Times New Roman" w:hint="eastAsia"/>
          <w:bCs/>
          <w:sz w:val="32"/>
          <w:szCs w:val="32"/>
        </w:rPr>
        <w:t>炎症药物非临床药效学研究与评价</w:t>
      </w:r>
      <w:r>
        <w:rPr>
          <w:rFonts w:ascii="仿宋_GB2312" w:eastAsia="仿宋_GB2312" w:cs="Times New Roman" w:hint="eastAsia"/>
          <w:bCs/>
          <w:sz w:val="32"/>
          <w:szCs w:val="32"/>
        </w:rPr>
        <w:t>的总体考虑</w:t>
      </w:r>
      <w:r>
        <w:rPr>
          <w:rFonts w:ascii="仿宋_GB2312" w:eastAsia="仿宋_GB2312" w:cs="Times New Roman"/>
          <w:bCs/>
          <w:sz w:val="32"/>
          <w:szCs w:val="32"/>
        </w:rPr>
        <w:t>、</w:t>
      </w:r>
      <w:r>
        <w:rPr>
          <w:rFonts w:ascii="仿宋_GB2312" w:eastAsia="仿宋_GB2312" w:cs="Times New Roman" w:hint="eastAsia"/>
          <w:bCs/>
          <w:sz w:val="32"/>
          <w:szCs w:val="32"/>
        </w:rPr>
        <w:t>体外药效学</w:t>
      </w:r>
      <w:r>
        <w:rPr>
          <w:rFonts w:ascii="仿宋_GB2312" w:eastAsia="仿宋_GB2312" w:cs="Times New Roman"/>
          <w:bCs/>
          <w:sz w:val="32"/>
          <w:szCs w:val="32"/>
        </w:rPr>
        <w:t>要点和体内药效学要点等</w:t>
      </w:r>
      <w:r>
        <w:rPr>
          <w:rFonts w:ascii="仿宋_GB2312" w:eastAsia="仿宋_GB2312" w:cs="Times New Roman" w:hint="eastAsia"/>
          <w:bCs/>
          <w:sz w:val="32"/>
          <w:szCs w:val="32"/>
        </w:rPr>
        <w:t>内容</w:t>
      </w:r>
      <w:r>
        <w:rPr>
          <w:rFonts w:ascii="仿宋_GB2312" w:eastAsia="仿宋_GB2312" w:cs="Times New Roman"/>
          <w:bCs/>
          <w:sz w:val="32"/>
          <w:szCs w:val="32"/>
        </w:rPr>
        <w:t>。</w:t>
      </w:r>
      <w:r>
        <w:rPr>
          <w:rFonts w:ascii="仿宋_GB2312" w:eastAsia="仿宋_GB2312" w:cs="Times New Roman" w:hint="eastAsia"/>
          <w:bCs/>
          <w:sz w:val="32"/>
          <w:szCs w:val="32"/>
        </w:rPr>
        <w:t>本</w:t>
      </w:r>
      <w:r>
        <w:rPr>
          <w:rFonts w:ascii="仿宋_GB2312" w:eastAsia="仿宋_GB2312" w:cs="Times New Roman"/>
          <w:bCs/>
          <w:sz w:val="32"/>
          <w:szCs w:val="32"/>
        </w:rPr>
        <w:t>指导原则适用于</w:t>
      </w:r>
      <w:r>
        <w:rPr>
          <w:rFonts w:ascii="仿宋_GB2312" w:eastAsia="仿宋_GB2312" w:cs="Times New Roman" w:hint="eastAsia"/>
          <w:bCs/>
          <w:sz w:val="32"/>
          <w:szCs w:val="32"/>
        </w:rPr>
        <w:t>具有</w:t>
      </w:r>
      <w:r>
        <w:rPr>
          <w:rFonts w:ascii="仿宋_GB2312" w:eastAsia="仿宋_GB2312" w:cs="Times New Roman"/>
          <w:bCs/>
          <w:sz w:val="32"/>
          <w:szCs w:val="32"/>
        </w:rPr>
        <w:t>抗炎作用机制，拟用于治疗新冠病毒肺炎炎症</w:t>
      </w:r>
      <w:r>
        <w:rPr>
          <w:rFonts w:ascii="仿宋_GB2312" w:eastAsia="仿宋_GB2312" w:cs="Times New Roman" w:hint="eastAsia"/>
          <w:bCs/>
          <w:sz w:val="32"/>
          <w:szCs w:val="32"/>
        </w:rPr>
        <w:t>的</w:t>
      </w:r>
      <w:r>
        <w:rPr>
          <w:rFonts w:ascii="仿宋_GB2312" w:eastAsia="仿宋_GB2312" w:cs="Times New Roman"/>
          <w:bCs/>
          <w:sz w:val="32"/>
          <w:szCs w:val="32"/>
        </w:rPr>
        <w:t>化学药品和生物制品。</w:t>
      </w:r>
      <w:r>
        <w:rPr>
          <w:rFonts w:ascii="仿宋_GB2312" w:eastAsia="仿宋_GB2312" w:cs="Times New Roman" w:hint="eastAsia"/>
          <w:bCs/>
          <w:sz w:val="32"/>
          <w:szCs w:val="32"/>
        </w:rPr>
        <w:t>国外</w:t>
      </w:r>
      <w:r>
        <w:rPr>
          <w:rFonts w:ascii="仿宋_GB2312" w:eastAsia="仿宋_GB2312" w:cs="Times New Roman"/>
          <w:bCs/>
          <w:sz w:val="32"/>
          <w:szCs w:val="32"/>
        </w:rPr>
        <w:t>目前尚无</w:t>
      </w:r>
      <w:r>
        <w:rPr>
          <w:rFonts w:ascii="仿宋_GB2312" w:eastAsia="仿宋_GB2312" w:cs="Times New Roman" w:hint="eastAsia"/>
          <w:bCs/>
          <w:sz w:val="32"/>
          <w:szCs w:val="32"/>
        </w:rPr>
        <w:t>同类</w:t>
      </w:r>
      <w:r>
        <w:rPr>
          <w:rFonts w:ascii="仿宋_GB2312" w:eastAsia="仿宋_GB2312" w:cs="Times New Roman"/>
          <w:bCs/>
          <w:sz w:val="32"/>
          <w:szCs w:val="32"/>
        </w:rPr>
        <w:t>技术要求和指导原则。</w:t>
      </w:r>
      <w:r w:rsidRPr="00AE29D8">
        <w:rPr>
          <w:rFonts w:ascii="仿宋_GB2312" w:eastAsia="仿宋_GB2312" w:cs="Times New Roman" w:hint="eastAsia"/>
          <w:bCs/>
          <w:sz w:val="32"/>
          <w:szCs w:val="32"/>
        </w:rPr>
        <w:t>随着对新冠病毒生物学特性和</w:t>
      </w:r>
      <w:r>
        <w:rPr>
          <w:rFonts w:ascii="仿宋_GB2312" w:eastAsia="仿宋_GB2312" w:cs="Times New Roman" w:hint="eastAsia"/>
          <w:bCs/>
          <w:sz w:val="32"/>
          <w:szCs w:val="32"/>
        </w:rPr>
        <w:t>新冠病毒肺炎</w:t>
      </w:r>
      <w:r w:rsidRPr="00AE29D8">
        <w:rPr>
          <w:rFonts w:ascii="仿宋_GB2312" w:eastAsia="仿宋_GB2312" w:cs="Times New Roman" w:hint="eastAsia"/>
          <w:bCs/>
          <w:sz w:val="32"/>
          <w:szCs w:val="32"/>
        </w:rPr>
        <w:t>病理病程认知程度的深入、药效学模型研究的进展、相关研究数据的积累和疫情形势的变化，本</w:t>
      </w:r>
      <w:r>
        <w:rPr>
          <w:rFonts w:ascii="仿宋_GB2312" w:eastAsia="仿宋_GB2312" w:cs="Times New Roman" w:hint="eastAsia"/>
          <w:bCs/>
          <w:sz w:val="32"/>
          <w:szCs w:val="32"/>
        </w:rPr>
        <w:t>指导原则</w:t>
      </w:r>
      <w:r w:rsidRPr="00AE29D8">
        <w:rPr>
          <w:rFonts w:ascii="仿宋_GB2312" w:eastAsia="仿宋_GB2312" w:cs="Times New Roman" w:hint="eastAsia"/>
          <w:bCs/>
          <w:sz w:val="32"/>
          <w:szCs w:val="32"/>
        </w:rPr>
        <w:t>将不断完善和适时更新。</w:t>
      </w:r>
    </w:p>
    <w:p w:rsidR="000A044F" w:rsidRPr="00CB2E57" w:rsidRDefault="000A044F"/>
    <w:sectPr w:rsidR="000A044F" w:rsidRPr="00CB2E5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67" w:rsidRDefault="00C90867" w:rsidP="00CB2E57">
      <w:r>
        <w:separator/>
      </w:r>
    </w:p>
  </w:endnote>
  <w:endnote w:type="continuationSeparator" w:id="0">
    <w:p w:rsidR="00C90867" w:rsidRDefault="00C90867" w:rsidP="00CB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7312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2E57" w:rsidRDefault="00CB2E5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D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D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2E57" w:rsidRDefault="00CB2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67" w:rsidRDefault="00C90867" w:rsidP="00CB2E57">
      <w:r>
        <w:separator/>
      </w:r>
    </w:p>
  </w:footnote>
  <w:footnote w:type="continuationSeparator" w:id="0">
    <w:p w:rsidR="00C90867" w:rsidRDefault="00C90867" w:rsidP="00CB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57"/>
    <w:rsid w:val="00010272"/>
    <w:rsid w:val="00072BE6"/>
    <w:rsid w:val="000A044F"/>
    <w:rsid w:val="000B169E"/>
    <w:rsid w:val="000F5E13"/>
    <w:rsid w:val="00105DA3"/>
    <w:rsid w:val="00121963"/>
    <w:rsid w:val="001272C3"/>
    <w:rsid w:val="00177691"/>
    <w:rsid w:val="001E49ED"/>
    <w:rsid w:val="001F1A89"/>
    <w:rsid w:val="0020029B"/>
    <w:rsid w:val="002234E5"/>
    <w:rsid w:val="00224EBF"/>
    <w:rsid w:val="0023493A"/>
    <w:rsid w:val="002801D5"/>
    <w:rsid w:val="00293DF4"/>
    <w:rsid w:val="002F2C9B"/>
    <w:rsid w:val="00386DBF"/>
    <w:rsid w:val="00390A3F"/>
    <w:rsid w:val="003A4E37"/>
    <w:rsid w:val="003E5B2F"/>
    <w:rsid w:val="003F21CE"/>
    <w:rsid w:val="00417B8E"/>
    <w:rsid w:val="004A74AE"/>
    <w:rsid w:val="004E6E95"/>
    <w:rsid w:val="004F14B4"/>
    <w:rsid w:val="00586EE8"/>
    <w:rsid w:val="005B6367"/>
    <w:rsid w:val="005C036E"/>
    <w:rsid w:val="00602403"/>
    <w:rsid w:val="00612836"/>
    <w:rsid w:val="00637581"/>
    <w:rsid w:val="00640A90"/>
    <w:rsid w:val="00687C91"/>
    <w:rsid w:val="006D3012"/>
    <w:rsid w:val="006E1B37"/>
    <w:rsid w:val="006E37F1"/>
    <w:rsid w:val="006E5378"/>
    <w:rsid w:val="006E67E0"/>
    <w:rsid w:val="00796421"/>
    <w:rsid w:val="007A3D30"/>
    <w:rsid w:val="007B0324"/>
    <w:rsid w:val="007D5993"/>
    <w:rsid w:val="008506B8"/>
    <w:rsid w:val="008675A1"/>
    <w:rsid w:val="008A41FE"/>
    <w:rsid w:val="008C364C"/>
    <w:rsid w:val="00963A56"/>
    <w:rsid w:val="009B3A30"/>
    <w:rsid w:val="00A52ECB"/>
    <w:rsid w:val="00A860FD"/>
    <w:rsid w:val="00AE7765"/>
    <w:rsid w:val="00B20E0D"/>
    <w:rsid w:val="00BA66DF"/>
    <w:rsid w:val="00BB0B4E"/>
    <w:rsid w:val="00BE1BAC"/>
    <w:rsid w:val="00BF6608"/>
    <w:rsid w:val="00C555F0"/>
    <w:rsid w:val="00C762C2"/>
    <w:rsid w:val="00C85AD2"/>
    <w:rsid w:val="00C90867"/>
    <w:rsid w:val="00CA507A"/>
    <w:rsid w:val="00CB2E57"/>
    <w:rsid w:val="00D13537"/>
    <w:rsid w:val="00D43505"/>
    <w:rsid w:val="00D45C32"/>
    <w:rsid w:val="00D7323A"/>
    <w:rsid w:val="00D92808"/>
    <w:rsid w:val="00DA33C2"/>
    <w:rsid w:val="00DA3409"/>
    <w:rsid w:val="00DC34D2"/>
    <w:rsid w:val="00DE6B10"/>
    <w:rsid w:val="00DF75E4"/>
    <w:rsid w:val="00E271AC"/>
    <w:rsid w:val="00E6114D"/>
    <w:rsid w:val="00E72C61"/>
    <w:rsid w:val="00E80E2D"/>
    <w:rsid w:val="00ED081D"/>
    <w:rsid w:val="00ED39BD"/>
    <w:rsid w:val="00EE6C8D"/>
    <w:rsid w:val="00EF63F6"/>
    <w:rsid w:val="00F61D49"/>
    <w:rsid w:val="00FC2D5B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3C142"/>
  <w15:chartTrackingRefBased/>
  <w15:docId w15:val="{B9476A5A-481B-4710-85E5-E24CC34D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孙涛</dc:creator>
  <cp:keywords/>
  <dc:description/>
  <cp:lastModifiedBy>信息运维人员03</cp:lastModifiedBy>
  <cp:revision>2</cp:revision>
  <dcterms:created xsi:type="dcterms:W3CDTF">2021-08-06T01:53:00Z</dcterms:created>
  <dcterms:modified xsi:type="dcterms:W3CDTF">2021-08-17T03:11:00Z</dcterms:modified>
</cp:coreProperties>
</file>