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附件5：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辽阳市“双通道”药品评估认定表</w:t>
      </w:r>
    </w:p>
    <w:bookmarkEnd w:id="0"/>
    <w:tbl>
      <w:tblPr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1421"/>
        <w:gridCol w:w="1424"/>
        <w:gridCol w:w="1032"/>
        <w:gridCol w:w="1379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姓   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性  别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身份证号</w:t>
            </w:r>
          </w:p>
        </w:tc>
        <w:tc>
          <w:tcPr>
            <w:tcW w:w="3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参保类型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临床诊断</w:t>
            </w:r>
          </w:p>
        </w:tc>
        <w:tc>
          <w:tcPr>
            <w:tcW w:w="7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医疗机构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名称</w:t>
            </w:r>
          </w:p>
        </w:tc>
        <w:tc>
          <w:tcPr>
            <w:tcW w:w="7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申请高值药品名称</w:t>
            </w:r>
          </w:p>
        </w:tc>
        <w:tc>
          <w:tcPr>
            <w:tcW w:w="7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申请人签字（监护人）</w:t>
            </w:r>
          </w:p>
        </w:tc>
        <w:tc>
          <w:tcPr>
            <w:tcW w:w="7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高值药品责任医师意见</w:t>
            </w:r>
          </w:p>
        </w:tc>
        <w:tc>
          <w:tcPr>
            <w:tcW w:w="7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高值药品使用方案及总量：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7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当前方案起止时间：    年  月  日至 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7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已使用量：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single"/>
                <w:bdr w:val="none" w:color="auto" w:sz="0" w:space="0"/>
              </w:rPr>
              <w:t>        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本次外购药量：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single"/>
                <w:bdr w:val="none" w:color="auto" w:sz="0" w:space="0"/>
              </w:rPr>
              <w:t>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3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处方医师签字：</w:t>
            </w:r>
          </w:p>
        </w:tc>
        <w:tc>
          <w:tcPr>
            <w:tcW w:w="3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3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评估医师签字：</w:t>
            </w:r>
          </w:p>
        </w:tc>
        <w:tc>
          <w:tcPr>
            <w:tcW w:w="3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医院医保科审核意见</w:t>
            </w:r>
          </w:p>
        </w:tc>
        <w:tc>
          <w:tcPr>
            <w:tcW w:w="3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审核人（签字）：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年   月   日</w:t>
            </w:r>
          </w:p>
        </w:tc>
        <w:tc>
          <w:tcPr>
            <w:tcW w:w="3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医院医保科盖章：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说明：1.本表一式三份，参保患者、双通道零售药店、双通道医疗机构各一份；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.高值药使用条件的诊断文书，包括须含所使用高值药限定条件中的诊断证明、影像报告、病理诊断、免疫组化报告、特殊化验指标结果报告单（其中使用抗肿瘤靶向药物的患者，以基因检测结果为指征的，应提交具备基因检测技术资质医疗机构出具的基因检测报告结果，以上资料须加盖病案或诊断管理专用印章）、门诊病历及出院小结等能够证明符合谈判药品使用条件的材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3.在下列情况下，发生的高值药品费用不予支付；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（1）未经责任医师开具外购申请和处方到双通道药店购药的；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（2）在非高值药定点管理医院住院期间药店外购的；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（3）超出适应症、超出医保支付限制条件、违规配药等发生的费用；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（4）其他特别规定的。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5407E"/>
    <w:rsid w:val="5EA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2022-05-06T09:03:00Z</dcterms:created>
  <dc:creator>王小米</dc:creator>
  <cp:lastModifiedBy>王小米</cp:lastModifiedBy>
  <dcterms:modified xsi:type="dcterms:W3CDTF">2022-05-06T09:03:39Z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70AB82CBC6A8427EB00F0347B4966F84</vt:lpwstr>
  </property>
</Properties>
</file>